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napToGrid w:val="0"/>
        <w:spacing w:before="0" w:beforeAutospacing="1" w:after="0" w:afterAutospacing="1" w:line="330" w:lineRule="atLeast"/>
        <w:ind w:left="0" w:right="0"/>
        <w:jc w:val="left"/>
      </w:pPr>
    </w:p>
    <w:p>
      <w:pPr>
        <w:widowControl/>
        <w:snapToGrid w:val="0"/>
        <w:spacing w:before="0" w:beforeAutospacing="1" w:after="0" w:afterAutospacing="1" w:line="330" w:lineRule="atLeast"/>
        <w:ind w:left="0" w:right="0"/>
        <w:jc w:val="center"/>
      </w:pPr>
      <w:r>
        <w:rPr>
          <w:rFonts w:ascii="华文中宋" w:hAnsi="华文中宋" w:eastAsia="华文中宋" w:cs="华文中宋"/>
          <w:b/>
          <w:kern w:val="0"/>
          <w:sz w:val="44"/>
          <w:szCs w:val="44"/>
          <w:lang w:val="en-US" w:eastAsia="zh-CN"/>
        </w:rPr>
        <w:t>农业行政处罚案件信息公开表</w:t>
      </w:r>
      <w:r>
        <w:rPr>
          <w:rFonts w:hint="default" w:ascii="仿宋_GB2312" w:hAnsi="Calibri" w:eastAsia="仿宋_GB2312" w:cs="仿宋_GB2312"/>
          <w:b/>
          <w:kern w:val="0"/>
          <w:sz w:val="44"/>
          <w:szCs w:val="44"/>
          <w:lang w:val="en-US" w:eastAsia="zh-CN"/>
        </w:rPr>
        <w:t> </w:t>
      </w:r>
    </w:p>
    <w:tbl>
      <w:tblPr>
        <w:tblW w:w="1424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7"/>
        <w:gridCol w:w="1395"/>
        <w:gridCol w:w="15"/>
        <w:gridCol w:w="861"/>
        <w:gridCol w:w="24"/>
        <w:gridCol w:w="1311"/>
        <w:gridCol w:w="32"/>
        <w:gridCol w:w="1255"/>
        <w:gridCol w:w="30"/>
        <w:gridCol w:w="1479"/>
        <w:gridCol w:w="1"/>
        <w:gridCol w:w="1253"/>
        <w:gridCol w:w="23"/>
        <w:gridCol w:w="1380"/>
        <w:gridCol w:w="51"/>
        <w:gridCol w:w="2340"/>
        <w:gridCol w:w="51"/>
        <w:gridCol w:w="1438"/>
        <w:gridCol w:w="80"/>
        <w:gridCol w:w="4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 </w:t>
            </w:r>
          </w:p>
          <w:p>
            <w:pPr>
              <w:widowControl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行政处罚</w:t>
            </w:r>
          </w:p>
          <w:p>
            <w:pPr>
              <w:widowControl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决定案号</w:t>
            </w:r>
          </w:p>
        </w:tc>
        <w:tc>
          <w:tcPr>
            <w:tcW w:w="8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案件</w:t>
            </w:r>
          </w:p>
          <w:p>
            <w:pPr>
              <w:widowControl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3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违法主体</w:t>
            </w:r>
          </w:p>
          <w:p>
            <w:pPr>
              <w:widowControl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名称或姓名</w:t>
            </w: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违法企业组织机构代码</w:t>
            </w:r>
          </w:p>
        </w:tc>
        <w:tc>
          <w:tcPr>
            <w:tcW w:w="14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法定代表人</w:t>
            </w:r>
          </w:p>
          <w:p>
            <w:pPr>
              <w:widowControl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（负责人）</w:t>
            </w:r>
          </w:p>
        </w:tc>
        <w:tc>
          <w:tcPr>
            <w:tcW w:w="12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主要</w:t>
            </w:r>
          </w:p>
          <w:p>
            <w:pPr>
              <w:widowControl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违法事实</w:t>
            </w:r>
          </w:p>
        </w:tc>
        <w:tc>
          <w:tcPr>
            <w:tcW w:w="14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行政处罚</w:t>
            </w:r>
          </w:p>
          <w:p>
            <w:pPr>
              <w:widowControl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种类和依据</w:t>
            </w:r>
          </w:p>
        </w:tc>
        <w:tc>
          <w:tcPr>
            <w:tcW w:w="239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行政处罚履行方式和期限</w:t>
            </w:r>
          </w:p>
        </w:tc>
        <w:tc>
          <w:tcPr>
            <w:tcW w:w="14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作出行政处罚的机关名称和日期</w:t>
            </w:r>
          </w:p>
        </w:tc>
        <w:tc>
          <w:tcPr>
            <w:tcW w:w="5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 </w:t>
            </w:r>
          </w:p>
          <w:p>
            <w:pPr>
              <w:widowControl/>
              <w:spacing w:before="0" w:beforeAutospacing="1" w:after="0" w:afterAutospacing="1" w:line="44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7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内农（种子）罚决字（2016）第106号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经营应当包装而未包装的种子案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田氏镇 丽英农资门市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马丽英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leftChars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经营应当包装而未包装的种子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《种子法》第八十一条第一项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15日内将罚款缴至中国邮储银行内黄县平安支行（账号100216372170010001）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内黄县农牧局2016年8月15日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7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内农（农药）罚决字（2016）第201号 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经营假冒登记证的农药案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内黄县金牛农资公司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左瑞杰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经营假冒登记证的农药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《农药管理条例》第四十二条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15日内将罚款缴至中国邮储银行内黄县平安支行（账号100216372170010001）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内黄县农牧局2016年8月15日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773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内农（肥料）罚决字（2016）第204号 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销售标签残缺不清的肥料案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中召乡供销社北召分销店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彭华忠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销售标签残缺不清的肥料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 《肥料登记管理办法》第二十八条第三项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15日内将罚款缴至中国邮储银行内黄县平安支行（账号100216372170010001）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 内黄县农牧局2016年8月7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日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75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内农（农药）简罚字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[2016]201号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经营擅自修改标签内容的农药案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亳城乡供销社河村服务部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申顺才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经营擅自修改标签内容的农药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《农药管理条例》第四十二条三项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15日内将罚款缴至中国邮储银行内黄县平安支行（账号100216372170010001）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 内黄县农牧局2016年6月20日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 </w:t>
            </w:r>
          </w:p>
        </w:tc>
      </w:tr>
    </w:tbl>
    <w:p>
      <w:pPr>
        <w:widowControl/>
        <w:snapToGrid w:val="0"/>
        <w:spacing w:before="0" w:beforeAutospacing="1" w:after="0" w:afterAutospacing="1" w:line="330" w:lineRule="atLeast"/>
        <w:ind w:left="0" w:right="0"/>
        <w:jc w:val="left"/>
      </w:pPr>
      <w:r>
        <w:rPr>
          <w:rFonts w:ascii="Calibri" w:hAnsi="Calibri" w:eastAsia="宋体" w:cs="黑体"/>
          <w:kern w:val="0"/>
          <w:sz w:val="21"/>
          <w:szCs w:val="21"/>
          <w:lang w:val="en-US" w:eastAsia="zh-CN"/>
        </w:rPr>
        <w:t> 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75" w:lineRule="atLeast"/>
        <w:jc w:val="left"/>
        <w:rPr>
          <w:b/>
          <w:sz w:val="21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altName w:val="Lucida Sans Unicode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2016-08-23T09:40:00Z</dcterms:created>
  <dc:creator>Administrator</dc:creator>
  <cp:lastModifiedBy>Administrator</cp:lastModifiedBy>
  <cp:lastPrinted>2016-08-23T10:16:00Z</cp:lastPrinted>
  <dcterms:modified xsi:type="dcterms:W3CDTF">2016-08-27T00:39:57Z</dcterms:modified>
  <dc:title>农业行政处罚案件信息公开表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</Properties>
</file>